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ho trovato questa bellissima versione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su internet; l’ho anche riadattata inserendo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strumenti a fiato e chitarra.         Davide</w:t>
        <w:br w:type="textWrapping"/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 trovato questa spiegazione:</w:t>
        <w:br w:type="textWrapping"/>
        <w:t xml:space="preserve">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testo di "Custodiscimi", è un riadattamento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 salmo 15 che si è reso necessario per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adeguarsii a questa particolare e bella melodia ebraica.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la parola "custodiscimi" non a caso replicata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più volte al ritornello, il salmista non fa altro che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dichiarare Dio come suo unico rifugio.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prima strofa viene sottolineato il forte legame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 l'uomo e Dio al punto che senza Lui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niente in questo mondo è un bene.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bdEj/lbrLuDGviK2Pvy1Mw+GlA==">CgMxLjA4AHIhMW81YlhPWDZKTE5pamM4cGdZRDBqOFg5cFFGdVVZTWVn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